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A03D8" w14:textId="77777777" w:rsidR="00FC6EE0" w:rsidRDefault="00FC6EE0">
      <w:pPr>
        <w:pStyle w:val="BodyText"/>
        <w:spacing w:before="6"/>
        <w:rPr>
          <w:rFonts w:ascii="Times New Roman"/>
          <w:sz w:val="16"/>
        </w:rPr>
      </w:pPr>
    </w:p>
    <w:p w14:paraId="31B5BB1B" w14:textId="7845DF4B" w:rsidR="00FC6EE0" w:rsidRDefault="00FC6EE0">
      <w:pPr>
        <w:pStyle w:val="BodyText"/>
        <w:rPr>
          <w:rFonts w:ascii="Trebuchet MS"/>
          <w:sz w:val="20"/>
        </w:rPr>
      </w:pPr>
    </w:p>
    <w:p w14:paraId="2B9445D8" w14:textId="77777777" w:rsidR="00E06E83" w:rsidRDefault="00E06E83">
      <w:pPr>
        <w:pStyle w:val="BodyText"/>
        <w:rPr>
          <w:rFonts w:ascii="Trebuchet MS"/>
          <w:sz w:val="20"/>
        </w:rPr>
      </w:pPr>
    </w:p>
    <w:p w14:paraId="23D7BEB2" w14:textId="77777777" w:rsidR="00FC6EE0" w:rsidRDefault="00FC6EE0">
      <w:pPr>
        <w:pStyle w:val="BodyText"/>
        <w:rPr>
          <w:rFonts w:ascii="Trebuchet MS"/>
          <w:sz w:val="20"/>
        </w:rPr>
      </w:pPr>
    </w:p>
    <w:p w14:paraId="26BB7BDF" w14:textId="77777777" w:rsidR="00FC6EE0" w:rsidRDefault="00FC6EE0">
      <w:pPr>
        <w:pStyle w:val="BodyText"/>
        <w:rPr>
          <w:rFonts w:ascii="Trebuchet MS"/>
          <w:sz w:val="20"/>
        </w:rPr>
      </w:pPr>
    </w:p>
    <w:p w14:paraId="018BDF40" w14:textId="77777777" w:rsidR="00FC6EE0" w:rsidRDefault="00FC6EE0">
      <w:pPr>
        <w:pStyle w:val="BodyText"/>
        <w:spacing w:before="3"/>
        <w:rPr>
          <w:rFonts w:ascii="Trebuchet MS"/>
          <w:sz w:val="16"/>
        </w:rPr>
      </w:pPr>
    </w:p>
    <w:p w14:paraId="6E00476E" w14:textId="77777777" w:rsidR="00FC6EE0" w:rsidRDefault="00E06E83">
      <w:pPr>
        <w:pStyle w:val="Heading1"/>
        <w:spacing w:before="44"/>
      </w:pPr>
      <w:r>
        <w:t>To Whom It May Concern</w:t>
      </w:r>
    </w:p>
    <w:p w14:paraId="1BC1351C" w14:textId="77777777" w:rsidR="00FC6EE0" w:rsidRDefault="00FC6EE0">
      <w:pPr>
        <w:pStyle w:val="BodyText"/>
        <w:rPr>
          <w:b/>
          <w:sz w:val="28"/>
        </w:rPr>
      </w:pPr>
    </w:p>
    <w:p w14:paraId="5E1F32A2" w14:textId="77777777" w:rsidR="00FC6EE0" w:rsidRDefault="00E06E83">
      <w:pPr>
        <w:spacing w:before="1"/>
        <w:ind w:left="100"/>
        <w:rPr>
          <w:b/>
          <w:sz w:val="28"/>
        </w:rPr>
      </w:pPr>
      <w:r>
        <w:rPr>
          <w:b/>
          <w:sz w:val="28"/>
        </w:rPr>
        <w:t>Re: VAT Domestic Reverse Charge</w:t>
      </w:r>
    </w:p>
    <w:p w14:paraId="6DE66B48" w14:textId="77777777" w:rsidR="00FC6EE0" w:rsidRDefault="00FC6EE0">
      <w:pPr>
        <w:pStyle w:val="BodyText"/>
        <w:spacing w:before="10"/>
        <w:rPr>
          <w:b/>
          <w:sz w:val="21"/>
        </w:rPr>
      </w:pPr>
    </w:p>
    <w:p w14:paraId="3BAEA1B7" w14:textId="7D392CDD" w:rsidR="00FC6EE0" w:rsidRDefault="00E06E83">
      <w:pPr>
        <w:pStyle w:val="Heading3"/>
        <w:spacing w:before="1"/>
        <w:ind w:right="1315"/>
      </w:pPr>
      <w:r>
        <w:t xml:space="preserve">For our records, please provide your VAT Reg Number, Company Reg number and UTR in the table below. This is required for DRC </w:t>
      </w:r>
      <w:r w:rsidR="00D610B7">
        <w:t xml:space="preserve">(VAT Domestic Reverse Charge) </w:t>
      </w:r>
      <w:r>
        <w:t>purposes.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1"/>
        <w:gridCol w:w="3000"/>
        <w:gridCol w:w="3000"/>
      </w:tblGrid>
      <w:tr w:rsidR="00FC6EE0" w14:paraId="5C992121" w14:textId="77777777">
        <w:trPr>
          <w:trHeight w:val="535"/>
        </w:trPr>
        <w:tc>
          <w:tcPr>
            <w:tcW w:w="9001" w:type="dxa"/>
            <w:gridSpan w:val="3"/>
            <w:tcBorders>
              <w:bottom w:val="single" w:sz="6" w:space="0" w:color="000000"/>
            </w:tcBorders>
          </w:tcPr>
          <w:p w14:paraId="357ECD5C" w14:textId="77777777" w:rsidR="00FC6EE0" w:rsidRDefault="00E06E83">
            <w:pPr>
              <w:pStyle w:val="TableParagraph"/>
              <w:spacing w:before="0" w:line="268" w:lineRule="exact"/>
              <w:ind w:left="108"/>
              <w:rPr>
                <w:b/>
              </w:rPr>
            </w:pPr>
            <w:r>
              <w:rPr>
                <w:b/>
              </w:rPr>
              <w:t>Company name:</w:t>
            </w:r>
          </w:p>
        </w:tc>
      </w:tr>
      <w:tr w:rsidR="00FC6EE0" w14:paraId="2E46D2A9" w14:textId="77777777">
        <w:trPr>
          <w:trHeight w:val="678"/>
        </w:trPr>
        <w:tc>
          <w:tcPr>
            <w:tcW w:w="3001" w:type="dxa"/>
            <w:tcBorders>
              <w:top w:val="single" w:sz="6" w:space="0" w:color="000000"/>
            </w:tcBorders>
          </w:tcPr>
          <w:p w14:paraId="7998DF9A" w14:textId="77777777" w:rsidR="00FC6EE0" w:rsidRDefault="00FC6EE0">
            <w:pPr>
              <w:pStyle w:val="TableParagraph"/>
              <w:spacing w:before="7"/>
              <w:rPr>
                <w:b/>
                <w:sz w:val="16"/>
              </w:rPr>
            </w:pPr>
          </w:p>
          <w:p w14:paraId="78C7175F" w14:textId="77777777" w:rsidR="00FC6EE0" w:rsidRDefault="00E06E83">
            <w:pPr>
              <w:pStyle w:val="TableParagraph"/>
              <w:ind w:left="108"/>
              <w:rPr>
                <w:b/>
              </w:rPr>
            </w:pPr>
            <w:r>
              <w:rPr>
                <w:b/>
              </w:rPr>
              <w:t>Vat No:</w:t>
            </w:r>
          </w:p>
        </w:tc>
        <w:tc>
          <w:tcPr>
            <w:tcW w:w="3000" w:type="dxa"/>
            <w:tcBorders>
              <w:top w:val="single" w:sz="6" w:space="0" w:color="000000"/>
            </w:tcBorders>
          </w:tcPr>
          <w:p w14:paraId="08D87E3E" w14:textId="77777777" w:rsidR="00FC6EE0" w:rsidRDefault="00FC6EE0">
            <w:pPr>
              <w:pStyle w:val="TableParagraph"/>
              <w:spacing w:before="7"/>
              <w:rPr>
                <w:b/>
                <w:sz w:val="16"/>
              </w:rPr>
            </w:pPr>
          </w:p>
          <w:p w14:paraId="746FC532" w14:textId="77777777" w:rsidR="00FC6EE0" w:rsidRDefault="00E06E83">
            <w:pPr>
              <w:pStyle w:val="TableParagraph"/>
              <w:ind w:left="107"/>
              <w:rPr>
                <w:b/>
              </w:rPr>
            </w:pPr>
            <w:r>
              <w:rPr>
                <w:b/>
              </w:rPr>
              <w:t>Co Reg:</w:t>
            </w:r>
          </w:p>
        </w:tc>
        <w:tc>
          <w:tcPr>
            <w:tcW w:w="3000" w:type="dxa"/>
            <w:tcBorders>
              <w:top w:val="single" w:sz="6" w:space="0" w:color="000000"/>
            </w:tcBorders>
          </w:tcPr>
          <w:p w14:paraId="7EED0399" w14:textId="77777777" w:rsidR="00FC6EE0" w:rsidRDefault="00FC6EE0">
            <w:pPr>
              <w:pStyle w:val="TableParagraph"/>
              <w:spacing w:before="7"/>
              <w:rPr>
                <w:b/>
                <w:sz w:val="16"/>
              </w:rPr>
            </w:pPr>
          </w:p>
          <w:p w14:paraId="65B00F46" w14:textId="77777777" w:rsidR="00FC6EE0" w:rsidRDefault="00E06E83">
            <w:pPr>
              <w:pStyle w:val="TableParagraph"/>
              <w:ind w:left="108"/>
              <w:rPr>
                <w:b/>
              </w:rPr>
            </w:pPr>
            <w:r>
              <w:rPr>
                <w:b/>
              </w:rPr>
              <w:t>UTR No:</w:t>
            </w:r>
          </w:p>
        </w:tc>
      </w:tr>
    </w:tbl>
    <w:p w14:paraId="6E0C7C40" w14:textId="77777777" w:rsidR="00FC6EE0" w:rsidRDefault="00FC6EE0">
      <w:pPr>
        <w:pStyle w:val="BodyText"/>
        <w:spacing w:before="1"/>
        <w:rPr>
          <w:b/>
        </w:rPr>
      </w:pPr>
    </w:p>
    <w:p w14:paraId="7007A1CD" w14:textId="77777777" w:rsidR="00FC6EE0" w:rsidRDefault="00E06E83">
      <w:pPr>
        <w:pStyle w:val="BodyText"/>
        <w:spacing w:line="237" w:lineRule="auto"/>
        <w:ind w:left="100" w:right="602"/>
      </w:pPr>
      <w:r>
        <w:rPr>
          <w:b/>
        </w:rPr>
        <w:t>From 1</w:t>
      </w:r>
      <w:r>
        <w:rPr>
          <w:b/>
          <w:sz w:val="14"/>
        </w:rPr>
        <w:t xml:space="preserve">st </w:t>
      </w:r>
      <w:r>
        <w:rPr>
          <w:b/>
        </w:rPr>
        <w:t xml:space="preserve">March 2021 HMRC </w:t>
      </w:r>
      <w:r>
        <w:t>will be introducing a change to the way VAT is collected and administered in the construction industry.</w:t>
      </w:r>
    </w:p>
    <w:p w14:paraId="6FD72DBB" w14:textId="77777777" w:rsidR="00FC6EE0" w:rsidRDefault="00E06E83">
      <w:pPr>
        <w:pStyle w:val="BodyText"/>
        <w:spacing w:before="2"/>
        <w:ind w:left="100" w:right="291"/>
      </w:pPr>
      <w:r>
        <w:t>Currently, businesses pay VAT on their purchase of materials and services and charge VAT on their supplies. The difference between VAT charged, and VAT paid, is paid to Customs and Excise on the agreed basis.</w:t>
      </w:r>
    </w:p>
    <w:p w14:paraId="2D024D4E" w14:textId="77777777" w:rsidR="00FC6EE0" w:rsidRDefault="00E06E83">
      <w:pPr>
        <w:ind w:left="100"/>
      </w:pPr>
      <w:r>
        <w:rPr>
          <w:b/>
        </w:rPr>
        <w:t xml:space="preserve">From the </w:t>
      </w:r>
      <w:proofErr w:type="gramStart"/>
      <w:r>
        <w:rPr>
          <w:b/>
        </w:rPr>
        <w:t>1</w:t>
      </w:r>
      <w:r>
        <w:rPr>
          <w:b/>
          <w:sz w:val="14"/>
        </w:rPr>
        <w:t>st</w:t>
      </w:r>
      <w:proofErr w:type="gramEnd"/>
      <w:r>
        <w:rPr>
          <w:b/>
          <w:sz w:val="14"/>
        </w:rPr>
        <w:t xml:space="preserve"> </w:t>
      </w:r>
      <w:r>
        <w:rPr>
          <w:b/>
        </w:rPr>
        <w:t xml:space="preserve">March, 2021 </w:t>
      </w:r>
      <w:r>
        <w:t>before an invoice is raised, a business will have to determine:</w:t>
      </w:r>
    </w:p>
    <w:p w14:paraId="4C5C723E" w14:textId="77777777" w:rsidR="00FC6EE0" w:rsidRDefault="00E06E83">
      <w:pPr>
        <w:pStyle w:val="ListParagraph"/>
        <w:numPr>
          <w:ilvl w:val="0"/>
          <w:numId w:val="1"/>
        </w:numPr>
        <w:tabs>
          <w:tab w:val="left" w:pos="319"/>
        </w:tabs>
      </w:pPr>
      <w:r>
        <w:t>Whether the customer is VAT</w:t>
      </w:r>
      <w:r>
        <w:rPr>
          <w:spacing w:val="-4"/>
        </w:rPr>
        <w:t xml:space="preserve"> </w:t>
      </w:r>
      <w:r>
        <w:t>registered,</w:t>
      </w:r>
    </w:p>
    <w:p w14:paraId="11978440" w14:textId="77777777" w:rsidR="00FC6EE0" w:rsidRDefault="00E06E83">
      <w:pPr>
        <w:pStyle w:val="ListParagraph"/>
        <w:numPr>
          <w:ilvl w:val="0"/>
          <w:numId w:val="1"/>
        </w:numPr>
        <w:tabs>
          <w:tab w:val="left" w:pos="319"/>
        </w:tabs>
        <w:spacing w:before="1"/>
      </w:pPr>
      <w:r>
        <w:t>Whether the customer is registered for</w:t>
      </w:r>
      <w:r>
        <w:rPr>
          <w:spacing w:val="-4"/>
        </w:rPr>
        <w:t xml:space="preserve"> </w:t>
      </w:r>
      <w:r>
        <w:t>CIS,</w:t>
      </w:r>
    </w:p>
    <w:p w14:paraId="7CB948EA" w14:textId="77777777" w:rsidR="00FC6EE0" w:rsidRDefault="00E06E83">
      <w:pPr>
        <w:pStyle w:val="ListParagraph"/>
        <w:numPr>
          <w:ilvl w:val="0"/>
          <w:numId w:val="1"/>
        </w:numPr>
        <w:tabs>
          <w:tab w:val="left" w:pos="319"/>
        </w:tabs>
      </w:pPr>
      <w:r>
        <w:t>Whether the customer is the end user of our</w:t>
      </w:r>
      <w:r>
        <w:rPr>
          <w:spacing w:val="-8"/>
        </w:rPr>
        <w:t xml:space="preserve"> </w:t>
      </w:r>
      <w:r>
        <w:t>supply</w:t>
      </w:r>
    </w:p>
    <w:p w14:paraId="6B2F25A7" w14:textId="77777777" w:rsidR="00FC6EE0" w:rsidRDefault="00E06E83">
      <w:pPr>
        <w:pStyle w:val="ListParagraph"/>
        <w:numPr>
          <w:ilvl w:val="0"/>
          <w:numId w:val="1"/>
        </w:numPr>
        <w:tabs>
          <w:tab w:val="left" w:pos="319"/>
        </w:tabs>
      </w:pPr>
      <w:r>
        <w:t>Whether the supply is within the scope of CIS,</w:t>
      </w:r>
      <w:r>
        <w:rPr>
          <w:spacing w:val="-6"/>
        </w:rPr>
        <w:t xml:space="preserve"> </w:t>
      </w:r>
      <w:r>
        <w:t>and</w:t>
      </w:r>
    </w:p>
    <w:p w14:paraId="0AC46032" w14:textId="77777777" w:rsidR="00FC6EE0" w:rsidRDefault="00E06E83">
      <w:pPr>
        <w:pStyle w:val="ListParagraph"/>
        <w:numPr>
          <w:ilvl w:val="0"/>
          <w:numId w:val="1"/>
        </w:numPr>
        <w:tabs>
          <w:tab w:val="left" w:pos="319"/>
        </w:tabs>
        <w:spacing w:before="1"/>
      </w:pPr>
      <w:r>
        <w:t>Whether the supply is to a building or structure the customer will use</w:t>
      </w:r>
      <w:r>
        <w:rPr>
          <w:spacing w:val="-12"/>
        </w:rPr>
        <w:t xml:space="preserve"> </w:t>
      </w:r>
      <w:r>
        <w:t>themselves.</w:t>
      </w:r>
    </w:p>
    <w:p w14:paraId="2AAB20A1" w14:textId="77777777" w:rsidR="00FC6EE0" w:rsidRDefault="00FC6EE0">
      <w:pPr>
        <w:pStyle w:val="BodyText"/>
        <w:spacing w:before="10"/>
        <w:rPr>
          <w:sz w:val="21"/>
        </w:rPr>
      </w:pPr>
    </w:p>
    <w:p w14:paraId="020F7864" w14:textId="77777777" w:rsidR="00FC6EE0" w:rsidRDefault="00E06E83">
      <w:pPr>
        <w:pStyle w:val="BodyText"/>
        <w:ind w:left="100" w:right="116"/>
      </w:pPr>
      <w:r>
        <w:t xml:space="preserve">If the customer is VAT and CIS registered, and the work is within the definition of a construction operation, and the customer will not use the building for their own occupation, the supply will be subject to the new VAT reverse charge regime (from </w:t>
      </w:r>
      <w:proofErr w:type="gramStart"/>
      <w:r>
        <w:t>March,</w:t>
      </w:r>
      <w:proofErr w:type="gramEnd"/>
      <w:r>
        <w:t xml:space="preserve"> 2021). The rate of VAT remains the </w:t>
      </w:r>
      <w:proofErr w:type="gramStart"/>
      <w:r>
        <w:t>same</w:t>
      </w:r>
      <w:proofErr w:type="gramEnd"/>
      <w:r>
        <w:t xml:space="preserve"> but no VAT will be paid by the customer / contractor, to their supplier / subcontractor.</w:t>
      </w:r>
    </w:p>
    <w:p w14:paraId="268A34C6" w14:textId="77777777" w:rsidR="00FC6EE0" w:rsidRDefault="00E06E83">
      <w:pPr>
        <w:pStyle w:val="BodyText"/>
        <w:spacing w:before="1"/>
        <w:ind w:left="100" w:right="109"/>
      </w:pPr>
      <w:r>
        <w:t xml:space="preserve">For </w:t>
      </w:r>
      <w:proofErr w:type="gramStart"/>
      <w:r>
        <w:t>the majority of</w:t>
      </w:r>
      <w:proofErr w:type="gramEnd"/>
      <w:r>
        <w:t xml:space="preserve"> work, where there is a supply chain and a main contractor, businesses will have to invoice showing the correct rate of VAT. However, the invoice will not request the payment of that VAT and the customer will not be expected to pay it. The business receiving a reverse charge invoice, will not send any money to pay a VAT debt.</w:t>
      </w:r>
    </w:p>
    <w:p w14:paraId="1F175C5C" w14:textId="77777777" w:rsidR="00FC6EE0" w:rsidRDefault="00FC6EE0">
      <w:pPr>
        <w:pStyle w:val="BodyText"/>
        <w:spacing w:before="3"/>
      </w:pPr>
    </w:p>
    <w:p w14:paraId="5E3F0A64" w14:textId="13F4A18A" w:rsidR="00FC6EE0" w:rsidRDefault="00E06E83">
      <w:pPr>
        <w:pStyle w:val="Heading3"/>
        <w:spacing w:line="237" w:lineRule="auto"/>
      </w:pPr>
      <w:r>
        <w:t>Based on the above requirement, if you as a customer fall under the DRC and receive a service, could you confirm whether you are the end user or not and supply an End User Statement on company letterhead.</w:t>
      </w:r>
    </w:p>
    <w:p w14:paraId="337E776B" w14:textId="77777777" w:rsidR="00FC6EE0" w:rsidRDefault="00FC6EE0">
      <w:pPr>
        <w:pStyle w:val="BodyText"/>
        <w:spacing w:before="2"/>
        <w:rPr>
          <w:b/>
        </w:rPr>
      </w:pPr>
    </w:p>
    <w:p w14:paraId="15B81C97" w14:textId="77777777" w:rsidR="00FC6EE0" w:rsidRDefault="00E06E83">
      <w:pPr>
        <w:pStyle w:val="BodyText"/>
        <w:spacing w:before="1"/>
        <w:ind w:left="100"/>
      </w:pPr>
      <w:r>
        <w:t>For more information, please see HMRC’s website:</w:t>
      </w:r>
    </w:p>
    <w:p w14:paraId="532D82BA" w14:textId="77777777" w:rsidR="00FC6EE0" w:rsidRDefault="00D610B7">
      <w:pPr>
        <w:pStyle w:val="BodyText"/>
        <w:ind w:left="100"/>
      </w:pPr>
      <w:hyperlink r:id="rId5">
        <w:r w:rsidR="00E06E83">
          <w:rPr>
            <w:color w:val="0000FF"/>
            <w:u w:val="single" w:color="0000FF"/>
          </w:rPr>
          <w:t>https://www.gov.uk/guidance/vat-domestic-reverse-charge-for-building-and-construction-services</w:t>
        </w:r>
      </w:hyperlink>
    </w:p>
    <w:p w14:paraId="13FD0A6A" w14:textId="77777777" w:rsidR="00FC6EE0" w:rsidRDefault="00FC6EE0">
      <w:pPr>
        <w:pStyle w:val="BodyText"/>
        <w:spacing w:before="5"/>
        <w:rPr>
          <w:sz w:val="17"/>
        </w:rPr>
      </w:pPr>
    </w:p>
    <w:p w14:paraId="6D854D1C" w14:textId="77777777" w:rsidR="00FC6EE0" w:rsidRDefault="00E06E83">
      <w:pPr>
        <w:pStyle w:val="BodyText"/>
        <w:spacing w:before="56"/>
        <w:ind w:left="100"/>
      </w:pPr>
      <w:r>
        <w:t>Thank you,</w:t>
      </w:r>
    </w:p>
    <w:p w14:paraId="585732E6" w14:textId="77777777" w:rsidR="00FC6EE0" w:rsidRDefault="00FC6EE0">
      <w:pPr>
        <w:pStyle w:val="BodyText"/>
        <w:rPr>
          <w:sz w:val="20"/>
        </w:rPr>
      </w:pPr>
    </w:p>
    <w:p w14:paraId="24488CB4" w14:textId="77777777" w:rsidR="00FC6EE0" w:rsidRDefault="00FC6EE0">
      <w:pPr>
        <w:pStyle w:val="BodyText"/>
        <w:rPr>
          <w:sz w:val="20"/>
        </w:rPr>
      </w:pPr>
    </w:p>
    <w:p w14:paraId="0E4AA57E" w14:textId="77777777" w:rsidR="00FC6EE0" w:rsidRDefault="00FC6EE0">
      <w:pPr>
        <w:pStyle w:val="BodyText"/>
        <w:rPr>
          <w:sz w:val="20"/>
        </w:rPr>
      </w:pPr>
    </w:p>
    <w:p w14:paraId="60BB8CEB" w14:textId="77777777" w:rsidR="00FC6EE0" w:rsidRDefault="00FC6EE0">
      <w:pPr>
        <w:pStyle w:val="BodyText"/>
        <w:rPr>
          <w:sz w:val="20"/>
        </w:rPr>
      </w:pPr>
    </w:p>
    <w:sectPr w:rsidR="00FC6EE0">
      <w:type w:val="continuous"/>
      <w:pgSz w:w="11920" w:h="16850"/>
      <w:pgMar w:top="660" w:right="600" w:bottom="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7F7F02"/>
    <w:multiLevelType w:val="hybridMultilevel"/>
    <w:tmpl w:val="924289E4"/>
    <w:lvl w:ilvl="0" w:tplc="5E5C45EE">
      <w:start w:val="1"/>
      <w:numFmt w:val="decimal"/>
      <w:lvlText w:val="%1."/>
      <w:lvlJc w:val="left"/>
      <w:pPr>
        <w:ind w:left="318" w:hanging="219"/>
        <w:jc w:val="left"/>
      </w:pPr>
      <w:rPr>
        <w:rFonts w:ascii="Calibri" w:eastAsia="Calibri" w:hAnsi="Calibri" w:cs="Calibri" w:hint="default"/>
        <w:w w:val="100"/>
        <w:sz w:val="22"/>
        <w:szCs w:val="22"/>
        <w:lang w:val="en-GB" w:eastAsia="en-GB" w:bidi="en-GB"/>
      </w:rPr>
    </w:lvl>
    <w:lvl w:ilvl="1" w:tplc="36328362">
      <w:numFmt w:val="bullet"/>
      <w:lvlText w:val="•"/>
      <w:lvlJc w:val="left"/>
      <w:pPr>
        <w:ind w:left="1327" w:hanging="219"/>
      </w:pPr>
      <w:rPr>
        <w:rFonts w:hint="default"/>
        <w:lang w:val="en-GB" w:eastAsia="en-GB" w:bidi="en-GB"/>
      </w:rPr>
    </w:lvl>
    <w:lvl w:ilvl="2" w:tplc="DDAA86B4">
      <w:numFmt w:val="bullet"/>
      <w:lvlText w:val="•"/>
      <w:lvlJc w:val="left"/>
      <w:pPr>
        <w:ind w:left="2334" w:hanging="219"/>
      </w:pPr>
      <w:rPr>
        <w:rFonts w:hint="default"/>
        <w:lang w:val="en-GB" w:eastAsia="en-GB" w:bidi="en-GB"/>
      </w:rPr>
    </w:lvl>
    <w:lvl w:ilvl="3" w:tplc="4E32297A">
      <w:numFmt w:val="bullet"/>
      <w:lvlText w:val="•"/>
      <w:lvlJc w:val="left"/>
      <w:pPr>
        <w:ind w:left="3341" w:hanging="219"/>
      </w:pPr>
      <w:rPr>
        <w:rFonts w:hint="default"/>
        <w:lang w:val="en-GB" w:eastAsia="en-GB" w:bidi="en-GB"/>
      </w:rPr>
    </w:lvl>
    <w:lvl w:ilvl="4" w:tplc="994C6276">
      <w:numFmt w:val="bullet"/>
      <w:lvlText w:val="•"/>
      <w:lvlJc w:val="left"/>
      <w:pPr>
        <w:ind w:left="4348" w:hanging="219"/>
      </w:pPr>
      <w:rPr>
        <w:rFonts w:hint="default"/>
        <w:lang w:val="en-GB" w:eastAsia="en-GB" w:bidi="en-GB"/>
      </w:rPr>
    </w:lvl>
    <w:lvl w:ilvl="5" w:tplc="B75A6586">
      <w:numFmt w:val="bullet"/>
      <w:lvlText w:val="•"/>
      <w:lvlJc w:val="left"/>
      <w:pPr>
        <w:ind w:left="5355" w:hanging="219"/>
      </w:pPr>
      <w:rPr>
        <w:rFonts w:hint="default"/>
        <w:lang w:val="en-GB" w:eastAsia="en-GB" w:bidi="en-GB"/>
      </w:rPr>
    </w:lvl>
    <w:lvl w:ilvl="6" w:tplc="636C9FFA">
      <w:numFmt w:val="bullet"/>
      <w:lvlText w:val="•"/>
      <w:lvlJc w:val="left"/>
      <w:pPr>
        <w:ind w:left="6362" w:hanging="219"/>
      </w:pPr>
      <w:rPr>
        <w:rFonts w:hint="default"/>
        <w:lang w:val="en-GB" w:eastAsia="en-GB" w:bidi="en-GB"/>
      </w:rPr>
    </w:lvl>
    <w:lvl w:ilvl="7" w:tplc="D2ACC13E">
      <w:numFmt w:val="bullet"/>
      <w:lvlText w:val="•"/>
      <w:lvlJc w:val="left"/>
      <w:pPr>
        <w:ind w:left="7369" w:hanging="219"/>
      </w:pPr>
      <w:rPr>
        <w:rFonts w:hint="default"/>
        <w:lang w:val="en-GB" w:eastAsia="en-GB" w:bidi="en-GB"/>
      </w:rPr>
    </w:lvl>
    <w:lvl w:ilvl="8" w:tplc="FF424FFC">
      <w:numFmt w:val="bullet"/>
      <w:lvlText w:val="•"/>
      <w:lvlJc w:val="left"/>
      <w:pPr>
        <w:ind w:left="8376" w:hanging="219"/>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E0"/>
    <w:rsid w:val="00D610B7"/>
    <w:rsid w:val="00E06E83"/>
    <w:rsid w:val="00FC6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B313"/>
  <w15:docId w15:val="{F2A228F0-2DFB-49E0-B9EE-DAE42A2A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1"/>
      <w:ind w:left="100"/>
      <w:outlineLvl w:val="0"/>
    </w:pPr>
    <w:rPr>
      <w:b/>
      <w:bCs/>
      <w:sz w:val="28"/>
      <w:szCs w:val="28"/>
    </w:rPr>
  </w:style>
  <w:style w:type="paragraph" w:styleId="Heading2">
    <w:name w:val="heading 2"/>
    <w:basedOn w:val="Normal"/>
    <w:uiPriority w:val="9"/>
    <w:unhideWhenUsed/>
    <w:qFormat/>
    <w:pPr>
      <w:spacing w:before="19"/>
      <w:ind w:left="6588"/>
      <w:outlineLvl w:val="1"/>
    </w:pPr>
    <w:rPr>
      <w:rFonts w:ascii="Tahoma" w:eastAsia="Tahoma" w:hAnsi="Tahoma" w:cs="Tahoma"/>
      <w:b/>
      <w:bCs/>
      <w:sz w:val="26"/>
      <w:szCs w:val="26"/>
    </w:rPr>
  </w:style>
  <w:style w:type="paragraph" w:styleId="Heading3">
    <w:name w:val="heading 3"/>
    <w:basedOn w:val="Normal"/>
    <w:uiPriority w:val="9"/>
    <w:unhideWhenUsed/>
    <w:qFormat/>
    <w:pPr>
      <w:ind w:left="100" w:right="6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18" w:hanging="219"/>
    </w:pPr>
  </w:style>
  <w:style w:type="paragraph" w:customStyle="1" w:styleId="TableParagraph">
    <w:name w:val="Table Paragraph"/>
    <w:basedOn w:val="Normal"/>
    <w:uiPriority w:val="1"/>
    <w:qFormat/>
    <w:pPr>
      <w:spacing w:before="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uidance/vat-domestic-reverse-charge-for-building-and-construction-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 Bastable</dc:creator>
  <cp:lastModifiedBy>Chelle Thirsk</cp:lastModifiedBy>
  <cp:revision>3</cp:revision>
  <dcterms:created xsi:type="dcterms:W3CDTF">2021-02-18T09:12:00Z</dcterms:created>
  <dcterms:modified xsi:type="dcterms:W3CDTF">2021-02-18T13:46:00Z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2016</vt:lpwstr>
  </property>
  <property fmtid="{D5CDD505-2E9C-101B-9397-08002B2CF9AE}" pid="4" name="LastSaved">
    <vt:filetime>2021-02-18T00:00:00Z</vt:filetime>
  </property>
</Properties>
</file>